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DCE" w:rsidRPr="00CE5C04" w:rsidRDefault="006435B5" w:rsidP="00CE5C04">
      <w:pPr>
        <w:bidi/>
        <w:spacing w:line="360" w:lineRule="auto"/>
        <w:ind w:firstLine="571"/>
        <w:jc w:val="center"/>
        <w:rPr>
          <w:rFonts w:cs="B Nazanin"/>
          <w:sz w:val="4"/>
          <w:szCs w:val="32"/>
          <w:rtl/>
        </w:rPr>
      </w:pPr>
      <w:r w:rsidRPr="00CE5C04">
        <w:rPr>
          <w:rFonts w:cs="B Nazanin" w:hint="cs"/>
          <w:sz w:val="4"/>
          <w:szCs w:val="32"/>
          <w:rtl/>
        </w:rPr>
        <w:t>اثر شش هفته برنامه درمان رشد عصبی بر تعادل</w:t>
      </w:r>
      <w:r w:rsidR="00CE5C04" w:rsidRPr="00CE5C04">
        <w:rPr>
          <w:rFonts w:cs="B Nazanin"/>
          <w:sz w:val="4"/>
          <w:szCs w:val="32"/>
        </w:rPr>
        <w:t xml:space="preserve"> </w:t>
      </w:r>
      <w:r w:rsidRPr="00CE5C04">
        <w:rPr>
          <w:rFonts w:cs="B Nazanin" w:hint="cs"/>
          <w:sz w:val="4"/>
          <w:szCs w:val="32"/>
          <w:rtl/>
        </w:rPr>
        <w:t>ایستا و پویای دانش</w:t>
      </w:r>
      <w:r w:rsidRPr="00CE5C04">
        <w:rPr>
          <w:rFonts w:cs="B Nazanin"/>
          <w:sz w:val="4"/>
          <w:szCs w:val="32"/>
          <w:rtl/>
        </w:rPr>
        <w:softHyphen/>
      </w:r>
      <w:r w:rsidRPr="00CE5C04">
        <w:rPr>
          <w:rFonts w:cs="B Nazanin" w:hint="cs"/>
          <w:sz w:val="4"/>
          <w:szCs w:val="32"/>
          <w:rtl/>
        </w:rPr>
        <w:t>آموزان فلج مغزی اتتوئید</w:t>
      </w:r>
    </w:p>
    <w:p w:rsidR="006435B5" w:rsidRDefault="006435B5" w:rsidP="00CE5C04">
      <w:pPr>
        <w:bidi/>
        <w:spacing w:line="360" w:lineRule="auto"/>
        <w:ind w:firstLine="571"/>
        <w:jc w:val="center"/>
        <w:rPr>
          <w:rFonts w:cs="B Nazanin"/>
          <w:i/>
          <w:sz w:val="24"/>
          <w:szCs w:val="24"/>
        </w:rPr>
      </w:pPr>
      <w:r w:rsidRPr="00CE5C04">
        <w:rPr>
          <w:rFonts w:ascii="Times New Roman" w:eastAsia="Calibri" w:hAnsi="Times New Roman" w:cs="B Nazanin" w:hint="cs"/>
          <w:sz w:val="24"/>
          <w:szCs w:val="24"/>
          <w:u w:val="single"/>
          <w:rtl/>
          <w:lang w:bidi="fa-IR"/>
        </w:rPr>
        <w:t>حسین صادقی</w:t>
      </w:r>
      <w:r w:rsidR="00CE5C04" w:rsidRPr="00CE5C04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>،</w:t>
      </w:r>
      <w:r w:rsidR="00CE5C04">
        <w:rPr>
          <w:rFonts w:ascii="Times New Roman" w:eastAsia="Calibri" w:hAnsi="Times New Roman" w:cs="B Nazanin" w:hint="cs"/>
          <w:sz w:val="24"/>
          <w:szCs w:val="24"/>
          <w:rtl/>
          <w:lang w:bidi="fa-IR"/>
        </w:rPr>
        <w:t xml:space="preserve"> </w:t>
      </w:r>
      <w:r w:rsidR="00CE5C04" w:rsidRPr="00CE5C04">
        <w:rPr>
          <w:rFonts w:cs="B Nazanin" w:hint="cs"/>
          <w:i/>
          <w:sz w:val="24"/>
          <w:szCs w:val="24"/>
          <w:rtl/>
        </w:rPr>
        <w:t>بخش علوم ورزشی، دانشکده روانشناسی و علوم تربیتی، دانشگاه شیراز، ایران</w:t>
      </w:r>
    </w:p>
    <w:p w:rsidR="00CE5C04" w:rsidRPr="00CE5C04" w:rsidRDefault="00CE5C04" w:rsidP="00CE5C04">
      <w:pPr>
        <w:bidi/>
        <w:spacing w:line="360" w:lineRule="auto"/>
        <w:ind w:firstLine="571"/>
        <w:jc w:val="center"/>
        <w:rPr>
          <w:rFonts w:cs="B Nazanin" w:hint="cs"/>
          <w:i/>
          <w:sz w:val="24"/>
          <w:szCs w:val="24"/>
          <w:rtl/>
          <w:lang w:bidi="fa-IR"/>
        </w:rPr>
      </w:pPr>
      <w:r w:rsidRPr="00CE5C04">
        <w:rPr>
          <w:rFonts w:cs="B Nazanin" w:hint="cs"/>
          <w:i/>
          <w:sz w:val="24"/>
          <w:szCs w:val="24"/>
          <w:rtl/>
          <w:lang w:bidi="fa-IR"/>
        </w:rPr>
        <w:t>ایمیل:</w:t>
      </w:r>
    </w:p>
    <w:p w:rsidR="00CE5C04" w:rsidRPr="00D47CA5" w:rsidRDefault="00CE5C04" w:rsidP="00CE5C04">
      <w:pPr>
        <w:bidi/>
        <w:spacing w:line="360" w:lineRule="auto"/>
        <w:ind w:firstLine="571"/>
        <w:jc w:val="center"/>
        <w:rPr>
          <w:rFonts w:ascii="Times New Roman" w:eastAsia="Calibri" w:hAnsi="Times New Roman" w:cs="B Nazanin"/>
          <w:i/>
          <w:sz w:val="24"/>
          <w:szCs w:val="24"/>
          <w:lang w:bidi="fa-IR"/>
        </w:rPr>
      </w:pPr>
      <w:r w:rsidRPr="00D47CA5">
        <w:rPr>
          <w:rFonts w:ascii="Times New Roman" w:eastAsia="Calibri" w:hAnsi="Times New Roman" w:cs="B Nazanin"/>
          <w:i/>
          <w:sz w:val="24"/>
          <w:szCs w:val="24"/>
          <w:lang w:bidi="fa-IR"/>
        </w:rPr>
        <w:t>hsptaa@gmail.com</w:t>
      </w:r>
    </w:p>
    <w:p w:rsidR="006435B5" w:rsidRPr="00D47CA5" w:rsidRDefault="006435B5" w:rsidP="00F6745B">
      <w:pPr>
        <w:bidi/>
        <w:spacing w:line="360" w:lineRule="auto"/>
        <w:jc w:val="both"/>
        <w:rPr>
          <w:rFonts w:ascii="Times New Roman" w:hAnsi="Times New Roman" w:cs="B Nazanin"/>
          <w:sz w:val="32"/>
          <w:szCs w:val="32"/>
          <w:rtl/>
          <w:lang w:bidi="fa-IR"/>
        </w:rPr>
      </w:pPr>
      <w:r w:rsidRPr="00D47CA5">
        <w:rPr>
          <w:rFonts w:ascii="Times New Roman" w:hAnsi="Times New Roman" w:cs="B Nazanin" w:hint="cs"/>
          <w:sz w:val="32"/>
          <w:szCs w:val="32"/>
          <w:rtl/>
          <w:lang w:bidi="fa-IR"/>
        </w:rPr>
        <w:t>چکیده</w:t>
      </w:r>
      <w:r w:rsidR="00D47CA5">
        <w:rPr>
          <w:rFonts w:ascii="Times New Roman" w:hAnsi="Times New Roman" w:cs="B Nazanin"/>
          <w:sz w:val="32"/>
          <w:szCs w:val="32"/>
          <w:lang w:bidi="fa-IR"/>
        </w:rPr>
        <w:t>:</w:t>
      </w:r>
    </w:p>
    <w:p w:rsidR="006435B5" w:rsidRPr="001978B1" w:rsidRDefault="006435B5" w:rsidP="00F6745B">
      <w:pPr>
        <w:widowControl w:val="0"/>
        <w:bidi/>
        <w:spacing w:after="0" w:line="360" w:lineRule="auto"/>
        <w:ind w:firstLine="571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این پژوهش با هدف تعیین اثر شش هفته برنامه درمان رشد عصبی بر تعادل ایستا و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پویای دانش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softHyphen/>
        <w:t>آموزان فلج</w:t>
      </w:r>
      <w:r>
        <w:rPr>
          <w:rFonts w:ascii="Times New Roman" w:hAnsi="Times New Roman" w:cs="B Nazanin"/>
          <w:sz w:val="24"/>
          <w:szCs w:val="24"/>
          <w:lang w:bidi="fa-IR"/>
        </w:rPr>
        <w:t>‌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>مغزی اتتوئید انجام شد. تعداد آزمودنی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softHyphen/>
        <w:t>ها 20 نفر و از بین دانش آموزان فلج مغزی اتتوئید شاغل به تحصیل شهر شیراز به صورت نمونه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softHyphen/>
        <w:t>گیری داوطلبانه و در دسترس انتخاب شدند. پس از پیش آزمون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- آزمون دسترسی عملکردی برای ارزیابی تعادل ایستا و آزمون زمان رفت و برگشت برای ارزیابی تعادل پویا-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همتاسازی،‌ آزمودنی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softHyphen/>
        <w:t>ها به صورت تصادفی در دو گروه تجربی با برنامه درمانی رشد عصبی و گروه کنترل با برنامه درمان روتین فیزیوتراپی تقسیم شده و به مدت شش هفته تحت درمان مورد نظر قرار گرفتند</w:t>
      </w:r>
      <w:r w:rsidR="00B564EA" w:rsidRPr="000737BE">
        <w:rPr>
          <w:rFonts w:cs="B Nazanin" w:hint="cs"/>
          <w:sz w:val="24"/>
          <w:szCs w:val="24"/>
          <w:rtl/>
          <w:lang w:bidi="fa-IR"/>
        </w:rPr>
        <w:t>(فرانجوین، گانتر و تیلور</w:t>
      </w:r>
      <w:r w:rsidR="00B564EA"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  <w:r w:rsidR="00B564EA" w:rsidRPr="000737BE">
        <w:rPr>
          <w:rFonts w:cs="B Nazanin" w:hint="cs"/>
          <w:sz w:val="24"/>
          <w:szCs w:val="24"/>
          <w:rtl/>
          <w:lang w:bidi="fa-IR"/>
        </w:rPr>
        <w:t>، 2003؛ پودسیادلو و ریچاردسون</w:t>
      </w:r>
      <w:r w:rsidR="00B564EA">
        <w:rPr>
          <w:rStyle w:val="FootnoteReference"/>
          <w:rFonts w:cs="B Nazanin"/>
          <w:sz w:val="24"/>
          <w:szCs w:val="24"/>
          <w:rtl/>
          <w:lang w:bidi="fa-IR"/>
        </w:rPr>
        <w:footnoteReference w:id="2"/>
      </w:r>
      <w:r w:rsidR="00B564EA" w:rsidRPr="000737BE">
        <w:rPr>
          <w:rFonts w:cs="B Nazanin" w:hint="cs"/>
          <w:sz w:val="24"/>
          <w:szCs w:val="24"/>
          <w:rtl/>
          <w:lang w:bidi="fa-IR"/>
        </w:rPr>
        <w:t>، 1991؛ ویلیامز، کارول، ردیهاف، فلیپس و گالیا</w:t>
      </w:r>
      <w:r w:rsidR="00B564EA">
        <w:rPr>
          <w:rStyle w:val="FootnoteReference"/>
          <w:rFonts w:cs="B Nazanin"/>
          <w:sz w:val="24"/>
          <w:szCs w:val="24"/>
          <w:rtl/>
          <w:lang w:bidi="fa-IR"/>
        </w:rPr>
        <w:footnoteReference w:id="3"/>
      </w:r>
      <w:r w:rsidR="00B564EA" w:rsidRPr="000737BE">
        <w:rPr>
          <w:rFonts w:cs="B Nazanin" w:hint="cs"/>
          <w:sz w:val="24"/>
          <w:szCs w:val="24"/>
          <w:rtl/>
          <w:lang w:bidi="fa-IR"/>
        </w:rPr>
        <w:t>، 2005).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بعد از دوره مشخص شده از هر دو گروه پس آزمون به عمل آمد. </w:t>
      </w:r>
    </w:p>
    <w:p w:rsidR="006435B5" w:rsidRDefault="006435B5" w:rsidP="00F6745B">
      <w:pPr>
        <w:widowControl w:val="0"/>
        <w:bidi/>
        <w:spacing w:after="0" w:line="360" w:lineRule="auto"/>
        <w:ind w:firstLine="571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نتایج به دست ‌آمده نشان داد که در آزمون تعادل ایستا، هر دو گروه بهبود عملکرد نشان دادند اما بین گروه تجربی و کنترل اختلاف معناداری وجود داشت به این صورت که تعادل ایستا در گروه تجربی نسبت به 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lastRenderedPageBreak/>
        <w:t>گروه کنترل به صورت معناداری افزایش پیدا کرده بود (019/0</w:t>
      </w:r>
      <w:r w:rsidRPr="001978B1">
        <w:rPr>
          <w:rFonts w:cs="B Nazanin" w:hint="cs"/>
          <w:sz w:val="24"/>
          <w:szCs w:val="24"/>
          <w:rtl/>
          <w:lang w:bidi="fa-IR"/>
        </w:rPr>
        <w:t>&gt;</w:t>
      </w:r>
      <w:r w:rsidRPr="001978B1">
        <w:rPr>
          <w:rFonts w:ascii="Times New Roman" w:hAnsi="Times New Roman" w:cs="B Nazanin"/>
          <w:sz w:val="24"/>
          <w:szCs w:val="24"/>
          <w:lang w:bidi="fa-IR"/>
        </w:rPr>
        <w:t>P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>). در آزمون تعادل پویا، با اینکه هر دو گروه بهبود نتایج را نشان دادند، اما بین دو گروه اختلاف معناداری مشاهده نشد (138/0</w:t>
      </w:r>
      <w:r w:rsidRPr="001978B1">
        <w:rPr>
          <w:rFonts w:cs="B Nazanin" w:hint="cs"/>
          <w:sz w:val="24"/>
          <w:szCs w:val="24"/>
          <w:rtl/>
          <w:lang w:bidi="fa-IR"/>
        </w:rPr>
        <w:t>&gt;</w:t>
      </w:r>
      <w:r w:rsidRPr="001978B1">
        <w:rPr>
          <w:rFonts w:ascii="Times New Roman" w:hAnsi="Times New Roman" w:cs="B Nazanin"/>
          <w:sz w:val="24"/>
          <w:szCs w:val="24"/>
          <w:lang w:bidi="fa-IR"/>
        </w:rPr>
        <w:t>P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). این نتایج مبین این موضوع هستند که برنامه درمان رشد عصبی نسبت به برنامه روتین فیزیوتراپی،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در بهبود عملکرد اندام‌های وتری گلژی، دوک‌های عضلانی و حس عمقی مفاصل مؤثر تر بوده و در نتیجه 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در افزایش تعادل ایستا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بهتر عمل کرده است</w:t>
      </w:r>
      <w:r>
        <w:rPr>
          <w:rFonts w:ascii="Times New Roman" w:hAnsi="Times New Roman" w:cs="B Nazanin"/>
          <w:sz w:val="24"/>
          <w:szCs w:val="24"/>
          <w:lang w:bidi="fa-IR"/>
        </w:rPr>
        <w:t>.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اما در تعادل پویا، بین دو پروتکل درم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انی اختلاف معناداری وجود ندارد</w:t>
      </w:r>
      <w:r w:rsidRPr="00E35887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که می تواند به علت عدم برتری هیچ کدام از این برنامه‌ها نسبت به هم در بهبود عملکرد سیستم دهلیزی و بینایی باشد.</w:t>
      </w:r>
    </w:p>
    <w:p w:rsidR="006435B5" w:rsidRPr="001978B1" w:rsidRDefault="006435B5" w:rsidP="00F6745B">
      <w:pPr>
        <w:widowControl w:val="0"/>
        <w:bidi/>
        <w:spacing w:after="0" w:line="360" w:lineRule="auto"/>
        <w:ind w:firstLine="571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</w:p>
    <w:p w:rsidR="006435B5" w:rsidRDefault="006435B5" w:rsidP="00F6745B">
      <w:pPr>
        <w:bidi/>
        <w:spacing w:line="360" w:lineRule="auto"/>
        <w:jc w:val="both"/>
        <w:rPr>
          <w:rFonts w:ascii="Times New Roman" w:hAnsi="Times New Roman" w:cs="B Nazanin"/>
          <w:sz w:val="24"/>
          <w:szCs w:val="24"/>
          <w:lang w:bidi="fa-IR"/>
        </w:rPr>
      </w:pPr>
      <w:r w:rsidRPr="001978B1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واژگان کلیدی:</w:t>
      </w:r>
      <w:r w:rsidRPr="001978B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فلج مغزی، کودک اتتوئید، تعادل، برنامه درمان رشد عصبی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:rsidR="00F84B5D" w:rsidRDefault="00F84B5D" w:rsidP="00F6745B">
      <w:pPr>
        <w:spacing w:line="360" w:lineRule="auto"/>
        <w:jc w:val="both"/>
        <w:rPr>
          <w:rFonts w:ascii="Times New Roman" w:hAnsi="Times New Roman" w:cs="B Nazanin"/>
          <w:sz w:val="24"/>
          <w:szCs w:val="24"/>
          <w:lang w:bidi="fa-IR"/>
        </w:rPr>
      </w:pPr>
      <w:r>
        <w:rPr>
          <w:rFonts w:ascii="Times New Roman" w:hAnsi="Times New Roman" w:cs="B Nazanin"/>
          <w:sz w:val="24"/>
          <w:szCs w:val="24"/>
          <w:lang w:bidi="fa-IR"/>
        </w:rPr>
        <w:t>References:</w:t>
      </w:r>
    </w:p>
    <w:p w:rsidR="00F84B5D" w:rsidRPr="00140030" w:rsidRDefault="00F84B5D" w:rsidP="00F6745B">
      <w:pPr>
        <w:pStyle w:val="EndNoteBibliography"/>
        <w:spacing w:after="0"/>
        <w:ind w:left="720" w:hanging="720"/>
        <w:jc w:val="both"/>
      </w:pPr>
      <w:bookmarkStart w:id="0" w:name="_ENREF_13"/>
      <w:r w:rsidRPr="00140030">
        <w:t xml:space="preserve">Franjoine, M. R., Gunther, J. S., &amp; Taylor, M. J. (2003). Pediatric Balance Scale: a modified version of the Berg Balance Scale for the school-age child with mild to moderate motor impairment. </w:t>
      </w:r>
      <w:r w:rsidRPr="00140030">
        <w:rPr>
          <w:i/>
        </w:rPr>
        <w:t>Pediatric Physical Therapy, 15</w:t>
      </w:r>
      <w:r w:rsidRPr="00140030">
        <w:t xml:space="preserve">(2), 114-128. </w:t>
      </w:r>
      <w:bookmarkEnd w:id="0"/>
    </w:p>
    <w:p w:rsidR="00417B74" w:rsidRPr="00140030" w:rsidRDefault="00417B74" w:rsidP="00F6745B">
      <w:pPr>
        <w:pStyle w:val="EndNoteBibliography"/>
        <w:spacing w:after="0"/>
        <w:ind w:left="720" w:hanging="720"/>
        <w:jc w:val="both"/>
      </w:pPr>
      <w:bookmarkStart w:id="1" w:name="_ENREF_26"/>
      <w:r w:rsidRPr="00140030">
        <w:t xml:space="preserve">Podsiadlo, D., &amp; Richardson, S. (1991). The timed “Up &amp; Go”: a test of basic functional mobility for frail elderly persons. </w:t>
      </w:r>
      <w:r w:rsidRPr="00140030">
        <w:rPr>
          <w:i/>
        </w:rPr>
        <w:t>Journal of the American geriatrics Society, 39</w:t>
      </w:r>
      <w:r w:rsidRPr="00140030">
        <w:t xml:space="preserve">(2), 142-148. </w:t>
      </w:r>
      <w:bookmarkEnd w:id="1"/>
    </w:p>
    <w:p w:rsidR="00417B74" w:rsidRPr="00140030" w:rsidRDefault="00417B74" w:rsidP="00F6745B">
      <w:pPr>
        <w:pStyle w:val="EndNoteBibliography"/>
        <w:spacing w:after="0"/>
        <w:ind w:left="720" w:hanging="720"/>
        <w:jc w:val="both"/>
      </w:pPr>
      <w:bookmarkStart w:id="2" w:name="_ENREF_37"/>
      <w:r w:rsidRPr="00140030">
        <w:t xml:space="preserve">Williams, E. N., Carroll, S. G., Reddihough, D. S., Phillips, B. A., &amp; Galea, M. P. (2005). Investigation of the timed ‘up &amp; go’test in children. </w:t>
      </w:r>
      <w:r w:rsidRPr="00140030">
        <w:rPr>
          <w:i/>
        </w:rPr>
        <w:t>Developmental Medicine &amp; Child Neurology, 47</w:t>
      </w:r>
      <w:r w:rsidRPr="00140030">
        <w:t xml:space="preserve">(08), 518-524. </w:t>
      </w:r>
      <w:bookmarkEnd w:id="2"/>
    </w:p>
    <w:p w:rsidR="00F84B5D" w:rsidRDefault="00F84B5D" w:rsidP="00F6745B">
      <w:pPr>
        <w:bidi/>
        <w:spacing w:line="360" w:lineRule="auto"/>
        <w:jc w:val="both"/>
        <w:rPr>
          <w:rFonts w:ascii="Times New Roman" w:hAnsi="Times New Roman" w:cs="B Nazanin"/>
          <w:sz w:val="24"/>
          <w:szCs w:val="24"/>
          <w:lang w:bidi="fa-IR"/>
        </w:rPr>
      </w:pPr>
    </w:p>
    <w:p w:rsidR="00D47CA5" w:rsidRPr="00D47CA5" w:rsidRDefault="00D47CA5" w:rsidP="00F6745B">
      <w:pPr>
        <w:bidi/>
        <w:jc w:val="both"/>
        <w:rPr>
          <w:rFonts w:cs="B Nazanin"/>
          <w:sz w:val="24"/>
          <w:szCs w:val="24"/>
          <w:lang w:bidi="fa-IR"/>
        </w:rPr>
      </w:pPr>
      <w:r w:rsidRPr="00D47CA5">
        <w:rPr>
          <w:rFonts w:cs="B Nazanin" w:hint="cs"/>
          <w:sz w:val="24"/>
          <w:szCs w:val="24"/>
          <w:rtl/>
          <w:lang w:bidi="fa-IR"/>
        </w:rPr>
        <w:t>کدام روش زیر را برای ارائه مقاله خود ترجیح می دهید:</w:t>
      </w:r>
    </w:p>
    <w:p w:rsidR="00D47CA5" w:rsidRPr="001E666E" w:rsidRDefault="00D47CA5" w:rsidP="001E666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D47CA5">
        <w:rPr>
          <w:rFonts w:cs="B Nazanin" w:hint="cs"/>
          <w:sz w:val="24"/>
          <w:szCs w:val="24"/>
          <w:rtl/>
          <w:lang w:bidi="fa-IR"/>
        </w:rPr>
        <w:t xml:space="preserve">سخنرانی </w:t>
      </w:r>
      <w:r>
        <w:rPr>
          <w:rFonts w:ascii="Arial" w:hAnsi="Arial" w:cs="Arial" w:hint="cs"/>
          <w:sz w:val="24"/>
          <w:szCs w:val="24"/>
          <w:rtl/>
          <w:lang w:bidi="fa-IR"/>
        </w:rPr>
        <w:t>●</w:t>
      </w:r>
      <w:r w:rsidRPr="00D47CA5">
        <w:rPr>
          <w:rFonts w:cs="B Nazanin" w:hint="cs"/>
          <w:sz w:val="24"/>
          <w:szCs w:val="24"/>
          <w:rtl/>
          <w:lang w:bidi="fa-IR"/>
        </w:rPr>
        <w:t xml:space="preserve">          پوستر</w:t>
      </w:r>
      <w:r>
        <w:rPr>
          <w:rFonts w:cs="B Nazanin"/>
          <w:sz w:val="24"/>
          <w:szCs w:val="24"/>
          <w:lang w:bidi="fa-IR"/>
        </w:rPr>
        <w:t>○</w:t>
      </w:r>
      <w:bookmarkStart w:id="3" w:name="_GoBack"/>
      <w:bookmarkEnd w:id="3"/>
    </w:p>
    <w:sectPr w:rsidR="00D47CA5" w:rsidRPr="001E666E" w:rsidSect="00CE5C04">
      <w:pgSz w:w="12240" w:h="15840"/>
      <w:pgMar w:top="2160" w:right="2160" w:bottom="2160" w:left="2160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DD4" w:rsidRDefault="005B5DD4" w:rsidP="00B564EA">
      <w:pPr>
        <w:spacing w:after="0" w:line="240" w:lineRule="auto"/>
      </w:pPr>
      <w:r>
        <w:separator/>
      </w:r>
    </w:p>
  </w:endnote>
  <w:endnote w:type="continuationSeparator" w:id="0">
    <w:p w:rsidR="005B5DD4" w:rsidRDefault="005B5DD4" w:rsidP="00B5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DD4" w:rsidRDefault="005B5DD4" w:rsidP="00B564EA">
      <w:pPr>
        <w:spacing w:after="0" w:line="240" w:lineRule="auto"/>
      </w:pPr>
      <w:r>
        <w:separator/>
      </w:r>
    </w:p>
  </w:footnote>
  <w:footnote w:type="continuationSeparator" w:id="0">
    <w:p w:rsidR="005B5DD4" w:rsidRDefault="005B5DD4" w:rsidP="00B564EA">
      <w:pPr>
        <w:spacing w:after="0" w:line="240" w:lineRule="auto"/>
      </w:pPr>
      <w:r>
        <w:continuationSeparator/>
      </w:r>
    </w:p>
  </w:footnote>
  <w:footnote w:id="1">
    <w:p w:rsidR="00B564EA" w:rsidRPr="00F84B5D" w:rsidRDefault="00B564EA" w:rsidP="00F84B5D">
      <w:pPr>
        <w:spacing w:after="200" w:line="240" w:lineRule="auto"/>
        <w:rPr>
          <w:sz w:val="20"/>
          <w:szCs w:val="20"/>
        </w:rPr>
      </w:pPr>
      <w:r>
        <w:rPr>
          <w:rStyle w:val="FootnoteReference"/>
        </w:rPr>
        <w:t>1</w:t>
      </w:r>
      <w:r>
        <w:t xml:space="preserve"> </w:t>
      </w:r>
      <w:proofErr w:type="spellStart"/>
      <w:r w:rsidRPr="00B564EA">
        <w:rPr>
          <w:rFonts w:asciiTheme="majorBidi" w:hAnsiTheme="majorBidi" w:cstheme="majorBidi"/>
          <w:sz w:val="20"/>
          <w:szCs w:val="20"/>
        </w:rPr>
        <w:t>Franjoine</w:t>
      </w:r>
      <w:proofErr w:type="spellEnd"/>
      <w:r w:rsidRPr="00B564EA">
        <w:rPr>
          <w:rFonts w:asciiTheme="majorBidi" w:hAnsiTheme="majorBidi" w:cstheme="majorBidi"/>
          <w:sz w:val="20"/>
          <w:szCs w:val="20"/>
        </w:rPr>
        <w:t xml:space="preserve"> Gunther &amp; Taylor</w:t>
      </w:r>
    </w:p>
  </w:footnote>
  <w:footnote w:id="2">
    <w:p w:rsidR="00B564EA" w:rsidRPr="00F84B5D" w:rsidRDefault="00B564EA" w:rsidP="00F84B5D">
      <w:pPr>
        <w:spacing w:after="200" w:line="240" w:lineRule="auto"/>
        <w:rPr>
          <w:rFonts w:hint="cs"/>
          <w:sz w:val="20"/>
          <w:szCs w:val="20"/>
          <w:rtl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="00F84B5D">
        <w:rPr>
          <w:rFonts w:asciiTheme="majorBidi" w:hAnsiTheme="majorBidi" w:cstheme="majorBidi"/>
          <w:sz w:val="20"/>
          <w:szCs w:val="20"/>
        </w:rPr>
        <w:t>Podsiadlo</w:t>
      </w:r>
      <w:proofErr w:type="spellEnd"/>
      <w:r w:rsidR="00F84B5D">
        <w:rPr>
          <w:rFonts w:asciiTheme="majorBidi" w:hAnsiTheme="majorBidi" w:cstheme="majorBidi"/>
          <w:sz w:val="20"/>
          <w:szCs w:val="20"/>
        </w:rPr>
        <w:t xml:space="preserve"> &amp; Richardson</w:t>
      </w:r>
    </w:p>
  </w:footnote>
  <w:footnote w:id="3">
    <w:p w:rsidR="00B564EA" w:rsidRPr="00B564EA" w:rsidRDefault="00B564EA" w:rsidP="00F84B5D">
      <w:pPr>
        <w:spacing w:after="200" w:line="240" w:lineRule="auto"/>
        <w:rPr>
          <w:rFonts w:hint="cs"/>
          <w:sz w:val="20"/>
          <w:szCs w:val="20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="00F84B5D">
        <w:rPr>
          <w:rFonts w:asciiTheme="majorBidi" w:hAnsiTheme="majorBidi" w:cstheme="majorBidi"/>
          <w:sz w:val="20"/>
          <w:szCs w:val="20"/>
        </w:rPr>
        <w:t xml:space="preserve">Williams, Carroll, </w:t>
      </w:r>
      <w:proofErr w:type="spellStart"/>
      <w:r w:rsidR="00F84B5D">
        <w:rPr>
          <w:rFonts w:asciiTheme="majorBidi" w:hAnsiTheme="majorBidi" w:cstheme="majorBidi"/>
          <w:sz w:val="20"/>
          <w:szCs w:val="20"/>
        </w:rPr>
        <w:t>Reddihouh</w:t>
      </w:r>
      <w:proofErr w:type="spellEnd"/>
      <w:r w:rsidR="00F84B5D">
        <w:rPr>
          <w:rFonts w:asciiTheme="majorBidi" w:hAnsiTheme="majorBidi" w:cstheme="majorBidi"/>
          <w:sz w:val="20"/>
          <w:szCs w:val="20"/>
        </w:rPr>
        <w:t xml:space="preserve">, Phillips &amp; </w:t>
      </w:r>
      <w:proofErr w:type="spellStart"/>
      <w:r w:rsidR="00F84B5D">
        <w:rPr>
          <w:rFonts w:asciiTheme="majorBidi" w:hAnsiTheme="majorBidi" w:cstheme="majorBidi"/>
          <w:sz w:val="20"/>
          <w:szCs w:val="20"/>
        </w:rPr>
        <w:t>Galea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8689E"/>
    <w:multiLevelType w:val="hybridMultilevel"/>
    <w:tmpl w:val="FB74190C"/>
    <w:lvl w:ilvl="0" w:tplc="7ED2D7F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B5"/>
    <w:rsid w:val="001E666E"/>
    <w:rsid w:val="00417B74"/>
    <w:rsid w:val="00534DCE"/>
    <w:rsid w:val="005B5DD4"/>
    <w:rsid w:val="006435B5"/>
    <w:rsid w:val="008A27D2"/>
    <w:rsid w:val="00B564EA"/>
    <w:rsid w:val="00CE5C04"/>
    <w:rsid w:val="00D123CE"/>
    <w:rsid w:val="00D47CA5"/>
    <w:rsid w:val="00F6745B"/>
    <w:rsid w:val="00F8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F06E"/>
  <w15:chartTrackingRefBased/>
  <w15:docId w15:val="{810FFFEA-5237-405A-B886-909225E4C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564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64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564EA"/>
    <w:rPr>
      <w:vertAlign w:val="superscript"/>
    </w:rPr>
  </w:style>
  <w:style w:type="paragraph" w:customStyle="1" w:styleId="EndNoteBibliography">
    <w:name w:val="EndNote Bibliography"/>
    <w:basedOn w:val="Normal"/>
    <w:link w:val="EndNoteBibliographyChar"/>
    <w:rsid w:val="00F84B5D"/>
    <w:pPr>
      <w:spacing w:after="200"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84B5D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8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527F8-288D-47C5-8527-17D5930A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</dc:creator>
  <cp:keywords/>
  <dc:description/>
  <cp:lastModifiedBy>BARAN</cp:lastModifiedBy>
  <cp:revision>5</cp:revision>
  <dcterms:created xsi:type="dcterms:W3CDTF">2016-11-23T04:43:00Z</dcterms:created>
  <dcterms:modified xsi:type="dcterms:W3CDTF">2016-12-05T05:13:00Z</dcterms:modified>
</cp:coreProperties>
</file>